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7C70" w14:textId="77777777" w:rsidR="007A3C0D" w:rsidRDefault="007A3C0D">
      <w:pPr>
        <w:jc w:val="both"/>
        <w:rPr>
          <w:b/>
          <w:bCs/>
        </w:rPr>
      </w:pPr>
    </w:p>
    <w:p w14:paraId="6C438371" w14:textId="77777777" w:rsidR="007A3C0D" w:rsidRDefault="007A3C0D">
      <w:pPr>
        <w:jc w:val="both"/>
        <w:rPr>
          <w:b/>
          <w:bCs/>
        </w:rPr>
      </w:pPr>
    </w:p>
    <w:p w14:paraId="75166D13" w14:textId="77777777" w:rsidR="007A3C0D" w:rsidRDefault="007A3C0D">
      <w:pPr>
        <w:jc w:val="both"/>
        <w:rPr>
          <w:i/>
          <w:iCs/>
        </w:rPr>
      </w:pPr>
    </w:p>
    <w:p w14:paraId="786368CF" w14:textId="77777777" w:rsidR="00DA704C" w:rsidRDefault="00DA704C" w:rsidP="00FF626A">
      <w:pPr>
        <w:jc w:val="both"/>
        <w:rPr>
          <w:i/>
          <w:iCs/>
        </w:rPr>
      </w:pPr>
    </w:p>
    <w:p w14:paraId="18B8D798" w14:textId="77777777" w:rsidR="00FF626A" w:rsidRDefault="00FD40FD" w:rsidP="00FF626A">
      <w:pPr>
        <w:jc w:val="both"/>
        <w:rPr>
          <w:i/>
          <w:iCs/>
        </w:rPr>
      </w:pPr>
      <w:r>
        <w:rPr>
          <w:i/>
          <w:iCs/>
        </w:rPr>
        <w:t xml:space="preserve">Comunicato stampa n. </w:t>
      </w:r>
      <w:r w:rsidR="009E5508">
        <w:rPr>
          <w:i/>
          <w:iCs/>
        </w:rPr>
        <w:t>30</w:t>
      </w:r>
      <w:r>
        <w:rPr>
          <w:i/>
          <w:iCs/>
        </w:rPr>
        <w:t>/23</w:t>
      </w:r>
    </w:p>
    <w:p w14:paraId="0633A895" w14:textId="77777777" w:rsidR="004C197C" w:rsidRDefault="004C197C" w:rsidP="00FF626A">
      <w:pPr>
        <w:jc w:val="both"/>
        <w:rPr>
          <w:i/>
          <w:iCs/>
        </w:rPr>
      </w:pPr>
    </w:p>
    <w:p w14:paraId="06D6FEC0" w14:textId="77777777" w:rsidR="009E5508" w:rsidRDefault="009E5508" w:rsidP="009E5508">
      <w:pPr>
        <w:jc w:val="both"/>
        <w:rPr>
          <w:rFonts w:cs="Times New Roman"/>
          <w:b/>
          <w:bCs/>
        </w:rPr>
      </w:pPr>
      <w:proofErr w:type="spellStart"/>
      <w:r w:rsidRPr="009B4879">
        <w:rPr>
          <w:rFonts w:cs="Times New Roman"/>
          <w:b/>
          <w:bCs/>
        </w:rPr>
        <w:t>Agrilevante</w:t>
      </w:r>
      <w:proofErr w:type="spellEnd"/>
      <w:r w:rsidRPr="009B4879">
        <w:rPr>
          <w:rFonts w:cs="Times New Roman"/>
          <w:b/>
          <w:bCs/>
        </w:rPr>
        <w:t>, la bioeconomia circolare protagonista degli eventi ITABIA</w:t>
      </w:r>
    </w:p>
    <w:p w14:paraId="00F7BC15" w14:textId="77777777" w:rsidR="009E5508" w:rsidRPr="009B4879" w:rsidRDefault="009E5508" w:rsidP="009E5508">
      <w:pPr>
        <w:jc w:val="both"/>
        <w:rPr>
          <w:rFonts w:cs="Times New Roman"/>
          <w:b/>
          <w:bCs/>
        </w:rPr>
      </w:pPr>
    </w:p>
    <w:p w14:paraId="3AF72B2D" w14:textId="77777777" w:rsidR="009E5508" w:rsidRDefault="009E5508" w:rsidP="009E5508">
      <w:pPr>
        <w:jc w:val="both"/>
        <w:rPr>
          <w:rFonts w:cs="Times New Roman"/>
          <w:b/>
          <w:bCs/>
        </w:rPr>
      </w:pPr>
      <w:r w:rsidRPr="009B4879">
        <w:rPr>
          <w:rFonts w:cs="Times New Roman"/>
          <w:b/>
          <w:bCs/>
        </w:rPr>
        <w:t xml:space="preserve">La bioeconomia circolare è un settore dotato di grandi potenzialità. I cicli di produzione basati sulle biomasse riducono sensibilmente l’impiego delle fonti fossili, giacché sono alimentati da </w:t>
      </w:r>
      <w:proofErr w:type="spellStart"/>
      <w:r w:rsidRPr="009B4879">
        <w:rPr>
          <w:rFonts w:cs="Times New Roman"/>
          <w:b/>
          <w:bCs/>
        </w:rPr>
        <w:t>biorisorse</w:t>
      </w:r>
      <w:proofErr w:type="spellEnd"/>
      <w:r w:rsidRPr="009B4879">
        <w:rPr>
          <w:rFonts w:cs="Times New Roman"/>
          <w:b/>
          <w:bCs/>
        </w:rPr>
        <w:t xml:space="preserve"> di origine ampiamente disponibili, rinnovabili e ben distribuite su tutto il territorio italiano</w:t>
      </w:r>
    </w:p>
    <w:p w14:paraId="37402402" w14:textId="77777777" w:rsidR="009E5508" w:rsidRPr="009B4879" w:rsidRDefault="009E5508" w:rsidP="009E5508">
      <w:pPr>
        <w:jc w:val="both"/>
        <w:rPr>
          <w:rFonts w:cs="Times New Roman"/>
          <w:b/>
          <w:bCs/>
        </w:rPr>
      </w:pPr>
    </w:p>
    <w:p w14:paraId="32B22AAF" w14:textId="77777777" w:rsidR="009E5508" w:rsidRPr="00C956F9" w:rsidRDefault="009E5508" w:rsidP="009E5508">
      <w:pPr>
        <w:jc w:val="both"/>
        <w:rPr>
          <w:rFonts w:cs="Times New Roman"/>
        </w:rPr>
      </w:pPr>
      <w:r>
        <w:rPr>
          <w:rFonts w:cs="Times New Roman"/>
        </w:rPr>
        <w:t xml:space="preserve">La bioeconomia circolare è stata uno dei temi salienti della settima edizione di </w:t>
      </w:r>
      <w:proofErr w:type="spellStart"/>
      <w:r>
        <w:rPr>
          <w:rFonts w:cs="Times New Roman"/>
        </w:rPr>
        <w:t>Agrilevante</w:t>
      </w:r>
      <w:proofErr w:type="spellEnd"/>
      <w:r>
        <w:rPr>
          <w:rFonts w:cs="Times New Roman"/>
        </w:rPr>
        <w:t xml:space="preserve">, la rassegna internazionale delle tecnologie agricole per il bacino mediterraneo che si chiude oggi, domenica 8 ottobre, a Bari. La valorizzazione delle economie agricole, le strategie di contenimento e di contrasto ai cambiamenti climatici, la diversificazione delle fonti di approvvigionamento energetico – questione centrale a fronte delle tensioni che agitano il quadro geopolitico – ma anche la necessità di garantire produzioni sempre più sostenibili, assegnano un ruolo strategico </w:t>
      </w:r>
      <w:r w:rsidR="00E82634">
        <w:rPr>
          <w:rFonts w:cs="Times New Roman"/>
        </w:rPr>
        <w:t>alla tutela degli ecosistemi. Ė</w:t>
      </w:r>
      <w:r>
        <w:rPr>
          <w:rFonts w:cs="Times New Roman"/>
        </w:rPr>
        <w:t xml:space="preserve"> proprio in questo contesto che si colloca la bioeconomia circolare, un settore dal grande potenziale, che sfrutta le </w:t>
      </w:r>
      <w:r w:rsidRPr="00C956F9">
        <w:rPr>
          <w:rFonts w:cs="Times New Roman"/>
        </w:rPr>
        <w:t xml:space="preserve">biomasse </w:t>
      </w:r>
      <w:r>
        <w:rPr>
          <w:rFonts w:cs="Times New Roman"/>
        </w:rPr>
        <w:t xml:space="preserve">di origine </w:t>
      </w:r>
      <w:r w:rsidRPr="00C956F9">
        <w:rPr>
          <w:rFonts w:cs="Times New Roman"/>
        </w:rPr>
        <w:t>agricol</w:t>
      </w:r>
      <w:r>
        <w:rPr>
          <w:rFonts w:cs="Times New Roman"/>
        </w:rPr>
        <w:t>a</w:t>
      </w:r>
      <w:r w:rsidRPr="00C956F9">
        <w:rPr>
          <w:rFonts w:cs="Times New Roman"/>
        </w:rPr>
        <w:t xml:space="preserve"> e forestal</w:t>
      </w:r>
      <w:r>
        <w:rPr>
          <w:rFonts w:cs="Times New Roman"/>
        </w:rPr>
        <w:t>e per sostenere</w:t>
      </w:r>
      <w:r w:rsidR="00E82634">
        <w:rPr>
          <w:rFonts w:cs="Times New Roman"/>
        </w:rPr>
        <w:t xml:space="preserve"> </w:t>
      </w:r>
      <w:r w:rsidRPr="00C956F9">
        <w:rPr>
          <w:rFonts w:cs="Times New Roman"/>
        </w:rPr>
        <w:t xml:space="preserve">intere filiere </w:t>
      </w:r>
      <w:r>
        <w:rPr>
          <w:rFonts w:cs="Times New Roman"/>
        </w:rPr>
        <w:t>a basso impatto. I cicli di produzione basati sulle biomasse consentono infatti di ridurre in modo significativo</w:t>
      </w:r>
      <w:r w:rsidR="00861820">
        <w:rPr>
          <w:rFonts w:cs="Times New Roman"/>
        </w:rPr>
        <w:t xml:space="preserve"> </w:t>
      </w:r>
      <w:r>
        <w:rPr>
          <w:rFonts w:cs="Times New Roman"/>
        </w:rPr>
        <w:t xml:space="preserve">l’impiego delle </w:t>
      </w:r>
      <w:r w:rsidRPr="00C956F9">
        <w:rPr>
          <w:rFonts w:cs="Times New Roman"/>
        </w:rPr>
        <w:t>fonti fossil</w:t>
      </w:r>
      <w:r>
        <w:rPr>
          <w:rFonts w:cs="Times New Roman"/>
        </w:rPr>
        <w:t>i, giacché sono alimentati</w:t>
      </w:r>
      <w:r w:rsidRPr="00C956F9">
        <w:rPr>
          <w:rFonts w:cs="Times New Roman"/>
        </w:rPr>
        <w:t xml:space="preserve"> da </w:t>
      </w:r>
      <w:proofErr w:type="spellStart"/>
      <w:r w:rsidRPr="00C956F9">
        <w:rPr>
          <w:rFonts w:cs="Times New Roman"/>
        </w:rPr>
        <w:t>biorisorse</w:t>
      </w:r>
      <w:proofErr w:type="spellEnd"/>
      <w:r w:rsidRPr="00C956F9">
        <w:rPr>
          <w:rFonts w:cs="Times New Roman"/>
        </w:rPr>
        <w:t xml:space="preserve"> di origine vegetale o animale</w:t>
      </w:r>
      <w:r>
        <w:rPr>
          <w:rFonts w:cs="Times New Roman"/>
        </w:rPr>
        <w:t>,</w:t>
      </w:r>
      <w:r w:rsidRPr="00C956F9">
        <w:rPr>
          <w:rFonts w:cs="Times New Roman"/>
        </w:rPr>
        <w:t xml:space="preserve"> ampiamente disponibili, rinnovabili e ben distribuite su tutto il territorio italiano </w:t>
      </w:r>
      <w:r>
        <w:rPr>
          <w:rFonts w:cs="Times New Roman"/>
        </w:rPr>
        <w:t xml:space="preserve">e, in particolare, su quello della Puglia. Di questo </w:t>
      </w:r>
      <w:r w:rsidR="00E82634">
        <w:rPr>
          <w:rFonts w:cs="Times New Roman"/>
        </w:rPr>
        <w:t xml:space="preserve">si </w:t>
      </w:r>
      <w:r>
        <w:rPr>
          <w:rFonts w:cs="Times New Roman"/>
        </w:rPr>
        <w:t xml:space="preserve">è parlato in occasione degli incontri di approfondimento organizzati ad </w:t>
      </w:r>
      <w:proofErr w:type="spellStart"/>
      <w:r>
        <w:rPr>
          <w:rFonts w:cs="Times New Roman"/>
        </w:rPr>
        <w:t>Agrilevante</w:t>
      </w:r>
      <w:proofErr w:type="spellEnd"/>
      <w:r>
        <w:rPr>
          <w:rFonts w:cs="Times New Roman"/>
        </w:rPr>
        <w:t xml:space="preserve"> da ITABIA, come il </w:t>
      </w:r>
      <w:r w:rsidRPr="00C956F9">
        <w:rPr>
          <w:rFonts w:cs="Times New Roman"/>
        </w:rPr>
        <w:t xml:space="preserve">workshop legato al Progetto Horizon </w:t>
      </w:r>
      <w:proofErr w:type="spellStart"/>
      <w:r w:rsidRPr="00C956F9">
        <w:rPr>
          <w:rFonts w:cs="Times New Roman"/>
        </w:rPr>
        <w:t>RuralBioUp</w:t>
      </w:r>
      <w:proofErr w:type="spellEnd"/>
      <w:r>
        <w:rPr>
          <w:rFonts w:cs="Times New Roman"/>
        </w:rPr>
        <w:t>, che vede la collaborazione fra</w:t>
      </w:r>
      <w:r w:rsidRPr="00C956F9">
        <w:rPr>
          <w:rFonts w:cs="Times New Roman"/>
        </w:rPr>
        <w:t xml:space="preserve"> altri </w:t>
      </w:r>
      <w:r w:rsidR="00E82634">
        <w:rPr>
          <w:rFonts w:cs="Times New Roman"/>
        </w:rPr>
        <w:t xml:space="preserve">di </w:t>
      </w:r>
      <w:r w:rsidRPr="00C956F9">
        <w:rPr>
          <w:rFonts w:cs="Times New Roman"/>
        </w:rPr>
        <w:t>11 partner in rappresentanza di 9 Paesi europei (Italia, Austria, Estonia, Francia, Irlanda, Lituania, Portogallo, Repubblica Ceca e Romania)</w:t>
      </w:r>
      <w:r>
        <w:rPr>
          <w:rFonts w:cs="Times New Roman"/>
        </w:rPr>
        <w:t>. Nel corso del workshop, cui hanno partecipato imprenditori, ricercatori e associazioni di settore,</w:t>
      </w:r>
      <w:r w:rsidR="00E82634">
        <w:rPr>
          <w:rFonts w:cs="Times New Roman"/>
        </w:rPr>
        <w:t xml:space="preserve"> </w:t>
      </w:r>
      <w:r w:rsidRPr="00C956F9">
        <w:rPr>
          <w:rFonts w:cs="Times New Roman"/>
        </w:rPr>
        <w:t xml:space="preserve">è stato riunito l’Hub regionale della Puglia sulla bioeconomia </w:t>
      </w:r>
      <w:r w:rsidR="00BA1A60" w:rsidRPr="0022431D">
        <w:rPr>
          <w:rFonts w:cs="Times New Roman"/>
        </w:rPr>
        <w:t>coordinato dal Cluster SPRING</w:t>
      </w:r>
      <w:r w:rsidR="00BA1A60">
        <w:rPr>
          <w:rFonts w:cs="Times New Roman"/>
        </w:rPr>
        <w:t xml:space="preserve"> </w:t>
      </w:r>
      <w:r w:rsidRPr="00C956F9">
        <w:rPr>
          <w:rFonts w:cs="Times New Roman"/>
        </w:rPr>
        <w:t>per definire un dettagliato piano d’azione in stretta collaborazione con l’Assessorato Agricoltura.</w:t>
      </w:r>
      <w:r>
        <w:rPr>
          <w:rFonts w:cs="Times New Roman"/>
        </w:rPr>
        <w:t xml:space="preserve"> Il </w:t>
      </w:r>
      <w:r w:rsidRPr="00C956F9">
        <w:rPr>
          <w:rFonts w:cs="Times New Roman"/>
        </w:rPr>
        <w:t>Piano</w:t>
      </w:r>
      <w:r>
        <w:rPr>
          <w:rFonts w:cs="Times New Roman"/>
        </w:rPr>
        <w:t xml:space="preserve"> –</w:t>
      </w:r>
      <w:r w:rsidR="00E82634">
        <w:rPr>
          <w:rFonts w:cs="Times New Roman"/>
        </w:rPr>
        <w:t xml:space="preserve"> </w:t>
      </w:r>
      <w:r>
        <w:rPr>
          <w:rFonts w:cs="Times New Roman"/>
        </w:rPr>
        <w:t xml:space="preserve">ricorda ITABIA, che è uno dei partner di </w:t>
      </w:r>
      <w:proofErr w:type="spellStart"/>
      <w:r>
        <w:rPr>
          <w:rFonts w:cs="Times New Roman"/>
        </w:rPr>
        <w:t>RuralBioUp</w:t>
      </w:r>
      <w:proofErr w:type="spellEnd"/>
      <w:r>
        <w:rPr>
          <w:rFonts w:cs="Times New Roman"/>
        </w:rPr>
        <w:t xml:space="preserve"> -</w:t>
      </w:r>
      <w:r w:rsidR="00E82634">
        <w:rPr>
          <w:rFonts w:cs="Times New Roman"/>
        </w:rPr>
        <w:t xml:space="preserve"> </w:t>
      </w:r>
      <w:r>
        <w:rPr>
          <w:rFonts w:cs="Times New Roman"/>
        </w:rPr>
        <w:t>ha per oggetto la valorizzazione</w:t>
      </w:r>
      <w:r w:rsidR="00E82634">
        <w:rPr>
          <w:rFonts w:cs="Times New Roman"/>
        </w:rPr>
        <w:t xml:space="preserve"> </w:t>
      </w:r>
      <w:r>
        <w:rPr>
          <w:rFonts w:cs="Times New Roman"/>
        </w:rPr>
        <w:t>del</w:t>
      </w:r>
      <w:r w:rsidRPr="00C956F9">
        <w:rPr>
          <w:rFonts w:cs="Times New Roman"/>
        </w:rPr>
        <w:t xml:space="preserve">le agroenergie, </w:t>
      </w:r>
      <w:r>
        <w:rPr>
          <w:rFonts w:cs="Times New Roman"/>
        </w:rPr>
        <w:t>de</w:t>
      </w:r>
      <w:r w:rsidRPr="00C956F9">
        <w:rPr>
          <w:rFonts w:cs="Times New Roman"/>
        </w:rPr>
        <w:t xml:space="preserve">i biofertilizzanti e </w:t>
      </w:r>
      <w:r>
        <w:rPr>
          <w:rFonts w:cs="Times New Roman"/>
        </w:rPr>
        <w:t>di alcune</w:t>
      </w:r>
      <w:r w:rsidRPr="00C956F9">
        <w:rPr>
          <w:rFonts w:cs="Times New Roman"/>
        </w:rPr>
        <w:t xml:space="preserve"> colture industriali</w:t>
      </w:r>
      <w:r>
        <w:rPr>
          <w:rFonts w:cs="Times New Roman"/>
        </w:rPr>
        <w:t>, e</w:t>
      </w:r>
      <w:r w:rsidRPr="00C956F9">
        <w:rPr>
          <w:rFonts w:cs="Times New Roman"/>
        </w:rPr>
        <w:t xml:space="preserve"> si </w:t>
      </w:r>
      <w:r>
        <w:rPr>
          <w:rFonts w:cs="Times New Roman"/>
        </w:rPr>
        <w:t>basa</w:t>
      </w:r>
      <w:r w:rsidRPr="00C956F9">
        <w:rPr>
          <w:rFonts w:cs="Times New Roman"/>
        </w:rPr>
        <w:t xml:space="preserve"> su azioni di formazione, trasferimento tecnologico e divulgazione di buone pratiche. </w:t>
      </w:r>
      <w:r>
        <w:rPr>
          <w:rFonts w:cs="Times New Roman"/>
        </w:rPr>
        <w:t>La meccanizzazione agricola</w:t>
      </w:r>
      <w:r w:rsidR="00E82634">
        <w:rPr>
          <w:rFonts w:cs="Times New Roman"/>
        </w:rPr>
        <w:t xml:space="preserve"> </w:t>
      </w:r>
      <w:r>
        <w:rPr>
          <w:rFonts w:cs="Times New Roman"/>
        </w:rPr>
        <w:t>è chiamata a svolgere un ruolo fondamentale per questo modello di bioeconomia circolare, giacché – hanno sottolineato i relatori –</w:t>
      </w:r>
      <w:r w:rsidR="00E82634">
        <w:rPr>
          <w:rFonts w:cs="Times New Roman"/>
        </w:rPr>
        <w:t xml:space="preserve"> </w:t>
      </w:r>
      <w:r>
        <w:rPr>
          <w:rFonts w:cs="Times New Roman"/>
        </w:rPr>
        <w:t xml:space="preserve">essa consente di ottimizzare le attività relative alla </w:t>
      </w:r>
      <w:r w:rsidRPr="00C956F9">
        <w:rPr>
          <w:rFonts w:cs="Times New Roman"/>
        </w:rPr>
        <w:t>raccolta,</w:t>
      </w:r>
      <w:r>
        <w:rPr>
          <w:rFonts w:cs="Times New Roman"/>
        </w:rPr>
        <w:t xml:space="preserve"> al</w:t>
      </w:r>
      <w:r w:rsidRPr="00C956F9">
        <w:rPr>
          <w:rFonts w:cs="Times New Roman"/>
        </w:rPr>
        <w:t xml:space="preserve"> condizionamento e </w:t>
      </w:r>
      <w:r>
        <w:rPr>
          <w:rFonts w:cs="Times New Roman"/>
        </w:rPr>
        <w:t xml:space="preserve">al </w:t>
      </w:r>
      <w:r w:rsidRPr="00C956F9">
        <w:rPr>
          <w:rFonts w:cs="Times New Roman"/>
        </w:rPr>
        <w:t xml:space="preserve">trasporto </w:t>
      </w:r>
      <w:r>
        <w:rPr>
          <w:rFonts w:cs="Times New Roman"/>
        </w:rPr>
        <w:t xml:space="preserve">del materiale vegetale. </w:t>
      </w:r>
    </w:p>
    <w:p w14:paraId="781C39C3" w14:textId="77777777" w:rsidR="004C197C" w:rsidRDefault="004C197C" w:rsidP="00FF626A">
      <w:pPr>
        <w:jc w:val="both"/>
        <w:rPr>
          <w:i/>
          <w:iCs/>
        </w:rPr>
      </w:pPr>
    </w:p>
    <w:p w14:paraId="6DE0E4E6" w14:textId="77777777" w:rsidR="00FF626A" w:rsidRPr="00FF626A" w:rsidRDefault="00FF626A" w:rsidP="00FF626A">
      <w:pPr>
        <w:jc w:val="both"/>
        <w:rPr>
          <w:i/>
          <w:iCs/>
          <w:sz w:val="10"/>
          <w:szCs w:val="10"/>
        </w:rPr>
      </w:pPr>
    </w:p>
    <w:p w14:paraId="67BA3D85" w14:textId="77777777" w:rsidR="007A3C0D" w:rsidRPr="0035024F" w:rsidRDefault="00FF6484" w:rsidP="003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333333"/>
        </w:rPr>
      </w:pPr>
      <w:r w:rsidRPr="00FF6484">
        <w:rPr>
          <w:rFonts w:eastAsia="Times New Roman" w:cs="Times New Roman"/>
          <w:b/>
          <w:bCs/>
          <w:color w:val="222222"/>
        </w:rPr>
        <w:t xml:space="preserve">Bari, </w:t>
      </w:r>
      <w:r w:rsidR="004C197C">
        <w:rPr>
          <w:rFonts w:eastAsia="Times New Roman" w:cs="Times New Roman"/>
          <w:b/>
          <w:bCs/>
          <w:color w:val="222222"/>
        </w:rPr>
        <w:t>8</w:t>
      </w:r>
      <w:r w:rsidRPr="00FF6484">
        <w:rPr>
          <w:rFonts w:eastAsia="Times New Roman" w:cs="Times New Roman"/>
          <w:b/>
          <w:bCs/>
          <w:color w:val="222222"/>
        </w:rPr>
        <w:t xml:space="preserve"> ottobre 2023</w:t>
      </w:r>
    </w:p>
    <w:sectPr w:rsidR="007A3C0D" w:rsidRPr="0035024F" w:rsidSect="006127EC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A4BB" w14:textId="77777777" w:rsidR="00E72BC2" w:rsidRDefault="00E72BC2">
      <w:r>
        <w:separator/>
      </w:r>
    </w:p>
  </w:endnote>
  <w:endnote w:type="continuationSeparator" w:id="0">
    <w:p w14:paraId="6986FAF9" w14:textId="77777777" w:rsidR="00E72BC2" w:rsidRDefault="00E7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EB4B" w14:textId="77777777" w:rsidR="007A3C0D" w:rsidRDefault="0056179B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FD40FD">
      <w:instrText xml:space="preserve"> PAGE </w:instrText>
    </w:r>
    <w:r>
      <w:fldChar w:fldCharType="separate"/>
    </w:r>
    <w:r w:rsidR="004F6D3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C22E" w14:textId="77777777" w:rsidR="007A3C0D" w:rsidRDefault="0056179B">
    <w:pPr>
      <w:pStyle w:val="Pidipagina"/>
      <w:tabs>
        <w:tab w:val="clear" w:pos="9638"/>
        <w:tab w:val="right" w:pos="8341"/>
      </w:tabs>
      <w:jc w:val="right"/>
    </w:pPr>
    <w:r>
      <w:fldChar w:fldCharType="begin"/>
    </w:r>
    <w:r w:rsidR="00FD40FD">
      <w:instrText xml:space="preserve"> PAGE </w:instrText>
    </w:r>
    <w:r>
      <w:fldChar w:fldCharType="separate"/>
    </w:r>
    <w:r w:rsidR="00BA1A6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227F" w14:textId="77777777" w:rsidR="00E72BC2" w:rsidRDefault="00E72BC2">
      <w:r>
        <w:separator/>
      </w:r>
    </w:p>
  </w:footnote>
  <w:footnote w:type="continuationSeparator" w:id="0">
    <w:p w14:paraId="6DF93832" w14:textId="77777777" w:rsidR="00E72BC2" w:rsidRDefault="00E7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549C" w14:textId="77777777" w:rsidR="007A3C0D" w:rsidRDefault="00B64CB2">
    <w:pPr>
      <w:pStyle w:val="Intestazioneepidipagina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194E0EFB" wp14:editId="62A165F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6350" b="0"/>
              <wp:wrapNone/>
              <wp:docPr id="2" name="Rettangolo arrotonda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BD2544F" id="Rettangolo arrotondato 2" o:spid="_x0000_s1026" style="position:absolute;margin-left:0;margin-top:0;width:595pt;height:842pt;z-index:-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220E" w14:textId="77777777" w:rsidR="007A3C0D" w:rsidRDefault="00B64CB2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64D2543A" wp14:editId="73F6338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6350" b="0"/>
              <wp:wrapNone/>
              <wp:docPr id="1" name="Rettangolo arrotonda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0EC5AE9" id="Rettangolo arrotondato 1" o:spid="_x0000_s1026" style="position:absolute;margin-left:0;margin-top:0;width:595pt;height:842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" stroked="f" strokeweight="1pt">
              <v:stroke miterlimit="4" joinstyle="miter"/>
              <w10:wrap anchorx="page" anchory="page"/>
            </v:roundrect>
          </w:pict>
        </mc:Fallback>
      </mc:AlternateContent>
    </w:r>
    <w:r w:rsidR="00FD40FD">
      <w:rPr>
        <w:noProof/>
      </w:rPr>
      <w:drawing>
        <wp:anchor distT="152400" distB="152400" distL="152400" distR="152400" simplePos="0" relativeHeight="251658752" behindDoc="1" locked="0" layoutInCell="1" allowOverlap="1" wp14:anchorId="47247313" wp14:editId="5C5F8B6C">
          <wp:simplePos x="0" y="0"/>
          <wp:positionH relativeFrom="page">
            <wp:posOffset>-59688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1073741827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C0D"/>
    <w:rsid w:val="00024E16"/>
    <w:rsid w:val="00036998"/>
    <w:rsid w:val="00040C26"/>
    <w:rsid w:val="00085EC2"/>
    <w:rsid w:val="000948F2"/>
    <w:rsid w:val="0010497B"/>
    <w:rsid w:val="00106890"/>
    <w:rsid w:val="00120040"/>
    <w:rsid w:val="00141052"/>
    <w:rsid w:val="001C42A2"/>
    <w:rsid w:val="00215B9D"/>
    <w:rsid w:val="00217C0E"/>
    <w:rsid w:val="0022431D"/>
    <w:rsid w:val="00231BEF"/>
    <w:rsid w:val="00235ED2"/>
    <w:rsid w:val="00244E1E"/>
    <w:rsid w:val="0027450B"/>
    <w:rsid w:val="00283E5B"/>
    <w:rsid w:val="002A79A3"/>
    <w:rsid w:val="003151F4"/>
    <w:rsid w:val="0033183E"/>
    <w:rsid w:val="0035024F"/>
    <w:rsid w:val="003620E0"/>
    <w:rsid w:val="003D5FF9"/>
    <w:rsid w:val="00406631"/>
    <w:rsid w:val="00461953"/>
    <w:rsid w:val="004B3656"/>
    <w:rsid w:val="004C197C"/>
    <w:rsid w:val="004D7A6C"/>
    <w:rsid w:val="004F6D3F"/>
    <w:rsid w:val="00523121"/>
    <w:rsid w:val="00541F94"/>
    <w:rsid w:val="0056179B"/>
    <w:rsid w:val="005C5C20"/>
    <w:rsid w:val="006127EC"/>
    <w:rsid w:val="00637539"/>
    <w:rsid w:val="006523F7"/>
    <w:rsid w:val="00690F55"/>
    <w:rsid w:val="006A168C"/>
    <w:rsid w:val="006A444E"/>
    <w:rsid w:val="006D6D2E"/>
    <w:rsid w:val="006E7C2A"/>
    <w:rsid w:val="006F73F2"/>
    <w:rsid w:val="00725B1D"/>
    <w:rsid w:val="00750082"/>
    <w:rsid w:val="00791C32"/>
    <w:rsid w:val="007A3C0D"/>
    <w:rsid w:val="007F4B9F"/>
    <w:rsid w:val="00835215"/>
    <w:rsid w:val="00861820"/>
    <w:rsid w:val="008A738E"/>
    <w:rsid w:val="00907B06"/>
    <w:rsid w:val="009127D5"/>
    <w:rsid w:val="00956871"/>
    <w:rsid w:val="009A1BB5"/>
    <w:rsid w:val="009D3011"/>
    <w:rsid w:val="009E5508"/>
    <w:rsid w:val="009F2F59"/>
    <w:rsid w:val="00A2424F"/>
    <w:rsid w:val="00A41730"/>
    <w:rsid w:val="00A66348"/>
    <w:rsid w:val="00A713CA"/>
    <w:rsid w:val="00A80FF9"/>
    <w:rsid w:val="00B64CB2"/>
    <w:rsid w:val="00BA1A60"/>
    <w:rsid w:val="00BA3C07"/>
    <w:rsid w:val="00BE63E9"/>
    <w:rsid w:val="00C40720"/>
    <w:rsid w:val="00CA61D3"/>
    <w:rsid w:val="00D175F3"/>
    <w:rsid w:val="00D23264"/>
    <w:rsid w:val="00D819EF"/>
    <w:rsid w:val="00DA704C"/>
    <w:rsid w:val="00E13E8E"/>
    <w:rsid w:val="00E72BC2"/>
    <w:rsid w:val="00E82634"/>
    <w:rsid w:val="00E91977"/>
    <w:rsid w:val="00E96AA0"/>
    <w:rsid w:val="00EE0711"/>
    <w:rsid w:val="00F36AAC"/>
    <w:rsid w:val="00F41568"/>
    <w:rsid w:val="00F74E2E"/>
    <w:rsid w:val="00F82247"/>
    <w:rsid w:val="00FD40FD"/>
    <w:rsid w:val="00FF626A"/>
    <w:rsid w:val="00FF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80741"/>
  <w15:docId w15:val="{2C5C9095-DE2E-4FF6-93D2-C2ECD8AC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7EC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127EC"/>
    <w:rPr>
      <w:u w:val="single"/>
    </w:rPr>
  </w:style>
  <w:style w:type="table" w:customStyle="1" w:styleId="TableNormal">
    <w:name w:val="Table Normal"/>
    <w:rsid w:val="00612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127E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6127E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6127E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6127EC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90F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0F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0F55"/>
    <w:rPr>
      <w:rFonts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0F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0F55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Mondo Macchina</cp:lastModifiedBy>
  <cp:revision>4</cp:revision>
  <cp:lastPrinted>2023-10-06T06:57:00Z</cp:lastPrinted>
  <dcterms:created xsi:type="dcterms:W3CDTF">2023-10-09T12:54:00Z</dcterms:created>
  <dcterms:modified xsi:type="dcterms:W3CDTF">2023-10-10T06:57:00Z</dcterms:modified>
</cp:coreProperties>
</file>